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8A762" w14:textId="642FD802" w:rsidR="00B77E80" w:rsidRDefault="00B77E80" w:rsidP="00B77E80">
      <w:pPr>
        <w:pStyle w:val="Default"/>
        <w:jc w:val="center"/>
        <w:rPr>
          <w:sz w:val="21"/>
          <w:szCs w:val="21"/>
        </w:rPr>
      </w:pPr>
      <w:r w:rsidRPr="00B77E80">
        <w:rPr>
          <w:rFonts w:hint="eastAsia"/>
          <w:sz w:val="21"/>
          <w:szCs w:val="21"/>
        </w:rPr>
        <w:t>令和８年度県民グループ企画支援事業助成金</w:t>
      </w:r>
      <w:r w:rsidR="00227057" w:rsidRPr="00227057">
        <w:rPr>
          <w:rFonts w:hint="eastAsia"/>
          <w:sz w:val="21"/>
          <w:szCs w:val="21"/>
        </w:rPr>
        <w:t>審査要領</w:t>
      </w:r>
    </w:p>
    <w:p w14:paraId="083A19C5" w14:textId="77777777" w:rsidR="00B77E80" w:rsidRPr="000255AB" w:rsidRDefault="00B77E80" w:rsidP="00B77E80">
      <w:pPr>
        <w:pStyle w:val="Default"/>
        <w:jc w:val="center"/>
        <w:rPr>
          <w:sz w:val="21"/>
          <w:szCs w:val="21"/>
        </w:rPr>
      </w:pPr>
    </w:p>
    <w:p w14:paraId="37FB52C3" w14:textId="77777777" w:rsidR="00B77E80" w:rsidRDefault="00B77E80" w:rsidP="00B77E80">
      <w:pPr>
        <w:pStyle w:val="Default"/>
        <w:rPr>
          <w:sz w:val="21"/>
          <w:szCs w:val="21"/>
        </w:rPr>
      </w:pPr>
      <w:r>
        <w:rPr>
          <w:rFonts w:hint="eastAsia"/>
          <w:sz w:val="21"/>
          <w:szCs w:val="21"/>
        </w:rPr>
        <w:t>１　審査方針</w:t>
      </w:r>
    </w:p>
    <w:p w14:paraId="674C019F" w14:textId="458A0C9C" w:rsidR="00B77E80" w:rsidRDefault="00B77E80" w:rsidP="00B77E80">
      <w:pPr>
        <w:pStyle w:val="Default"/>
        <w:ind w:leftChars="100" w:left="210" w:firstLineChars="100" w:firstLine="210"/>
        <w:rPr>
          <w:sz w:val="21"/>
          <w:szCs w:val="21"/>
        </w:rPr>
      </w:pPr>
      <w:r w:rsidRPr="00B77E80">
        <w:rPr>
          <w:rFonts w:hint="eastAsia"/>
          <w:sz w:val="21"/>
          <w:szCs w:val="21"/>
        </w:rPr>
        <w:t>令和８年度県民グループ企画支援</w:t>
      </w:r>
      <w:r>
        <w:rPr>
          <w:rFonts w:hint="eastAsia"/>
          <w:sz w:val="21"/>
          <w:szCs w:val="21"/>
        </w:rPr>
        <w:t>事業実施要領に定める事業に基づき</w:t>
      </w:r>
      <w:r w:rsidR="009F559A">
        <w:rPr>
          <w:rFonts w:hint="eastAsia"/>
          <w:sz w:val="21"/>
          <w:szCs w:val="21"/>
        </w:rPr>
        <w:t>助成金対象者</w:t>
      </w:r>
      <w:r>
        <w:rPr>
          <w:rFonts w:hint="eastAsia"/>
          <w:sz w:val="21"/>
          <w:szCs w:val="21"/>
        </w:rPr>
        <w:t>を審査する。</w:t>
      </w:r>
    </w:p>
    <w:p w14:paraId="2AF4728E" w14:textId="77777777" w:rsidR="00B77E80" w:rsidRPr="00B77E80" w:rsidRDefault="00B77E80" w:rsidP="00B77E80">
      <w:pPr>
        <w:pStyle w:val="Default"/>
        <w:ind w:leftChars="100" w:left="210" w:firstLineChars="100" w:firstLine="210"/>
        <w:rPr>
          <w:sz w:val="21"/>
          <w:szCs w:val="21"/>
        </w:rPr>
      </w:pPr>
    </w:p>
    <w:p w14:paraId="69E71696" w14:textId="77777777" w:rsidR="00B77E80" w:rsidRDefault="00B77E80" w:rsidP="00B77E80">
      <w:pPr>
        <w:pStyle w:val="Default"/>
        <w:rPr>
          <w:sz w:val="21"/>
          <w:szCs w:val="21"/>
        </w:rPr>
      </w:pPr>
      <w:r>
        <w:rPr>
          <w:rFonts w:hint="eastAsia"/>
          <w:sz w:val="21"/>
          <w:szCs w:val="21"/>
        </w:rPr>
        <w:t>２　審査方法</w:t>
      </w:r>
    </w:p>
    <w:p w14:paraId="3F706059" w14:textId="77777777" w:rsidR="00227057" w:rsidRPr="00227057" w:rsidRDefault="00227057" w:rsidP="00227057">
      <w:pPr>
        <w:pStyle w:val="Default"/>
        <w:ind w:leftChars="100" w:left="210" w:firstLineChars="100" w:firstLine="210"/>
        <w:rPr>
          <w:sz w:val="21"/>
          <w:szCs w:val="21"/>
        </w:rPr>
      </w:pPr>
      <w:r w:rsidRPr="00227057">
        <w:rPr>
          <w:rFonts w:hint="eastAsia"/>
          <w:sz w:val="21"/>
          <w:szCs w:val="21"/>
        </w:rPr>
        <w:t>応募者から応募申請書及び実施計画書が提出された際には都度書面審査会を開催し、書類の審査により採択者を決定する。</w:t>
      </w:r>
    </w:p>
    <w:p w14:paraId="65F7C04B" w14:textId="4D92AEE0" w:rsidR="00B77E80" w:rsidRDefault="00227057" w:rsidP="00227057">
      <w:pPr>
        <w:pStyle w:val="Default"/>
        <w:ind w:leftChars="100" w:left="210" w:firstLineChars="100" w:firstLine="210"/>
        <w:rPr>
          <w:sz w:val="21"/>
          <w:szCs w:val="21"/>
        </w:rPr>
      </w:pPr>
      <w:r w:rsidRPr="00227057">
        <w:rPr>
          <w:rFonts w:hint="eastAsia"/>
          <w:sz w:val="21"/>
          <w:szCs w:val="21"/>
        </w:rPr>
        <w:t>事業の内容について、この審査要領に定める評価基準により総合的に評価を行い、</w:t>
      </w:r>
      <w:r w:rsidR="009F559A">
        <w:rPr>
          <w:rFonts w:hint="eastAsia"/>
          <w:sz w:val="21"/>
          <w:szCs w:val="21"/>
        </w:rPr>
        <w:t>助成金対象者</w:t>
      </w:r>
      <w:r w:rsidRPr="00227057">
        <w:rPr>
          <w:rFonts w:hint="eastAsia"/>
          <w:sz w:val="21"/>
          <w:szCs w:val="21"/>
        </w:rPr>
        <w:t>を決定するものとする。なお、必要に応じて当該応募者へのヒアリングを実施する。</w:t>
      </w:r>
    </w:p>
    <w:p w14:paraId="3F715658" w14:textId="77777777" w:rsidR="00B77E80" w:rsidRDefault="00B77E80" w:rsidP="00B77E80">
      <w:pPr>
        <w:pStyle w:val="Default"/>
        <w:ind w:leftChars="100" w:left="210" w:firstLineChars="100" w:firstLine="210"/>
        <w:rPr>
          <w:sz w:val="21"/>
          <w:szCs w:val="21"/>
        </w:rPr>
      </w:pPr>
    </w:p>
    <w:p w14:paraId="21D6E941" w14:textId="5023E794" w:rsidR="00227057" w:rsidRPr="00227057" w:rsidRDefault="00227057" w:rsidP="00227057">
      <w:pPr>
        <w:pStyle w:val="Default"/>
        <w:rPr>
          <w:sz w:val="21"/>
          <w:szCs w:val="21"/>
        </w:rPr>
      </w:pPr>
      <w:r>
        <w:rPr>
          <w:rFonts w:hint="eastAsia"/>
          <w:sz w:val="21"/>
          <w:szCs w:val="21"/>
        </w:rPr>
        <w:t xml:space="preserve">３　</w:t>
      </w:r>
      <w:r w:rsidRPr="00227057">
        <w:rPr>
          <w:rFonts w:hint="eastAsia"/>
          <w:sz w:val="21"/>
          <w:szCs w:val="21"/>
        </w:rPr>
        <w:t>審査会及び審査員</w:t>
      </w:r>
    </w:p>
    <w:p w14:paraId="4CBF1A22" w14:textId="67015FEB" w:rsidR="00227057" w:rsidRPr="00227057" w:rsidRDefault="00227057" w:rsidP="00227057">
      <w:pPr>
        <w:pStyle w:val="Default"/>
        <w:ind w:leftChars="200" w:left="840" w:hangingChars="200" w:hanging="420"/>
        <w:rPr>
          <w:sz w:val="21"/>
          <w:szCs w:val="21"/>
        </w:rPr>
      </w:pPr>
      <w:r w:rsidRPr="00227057">
        <w:rPr>
          <w:rFonts w:hint="eastAsia"/>
          <w:sz w:val="21"/>
          <w:szCs w:val="21"/>
        </w:rPr>
        <w:t>（１）審査会は、</w:t>
      </w:r>
      <w:r>
        <w:rPr>
          <w:rFonts w:hint="eastAsia"/>
          <w:sz w:val="21"/>
          <w:szCs w:val="21"/>
        </w:rPr>
        <w:t>男女参画・女性の活躍推進</w:t>
      </w:r>
      <w:r w:rsidRPr="00227057">
        <w:rPr>
          <w:rFonts w:hint="eastAsia"/>
          <w:sz w:val="21"/>
          <w:szCs w:val="21"/>
        </w:rPr>
        <w:t>課長、</w:t>
      </w:r>
      <w:r>
        <w:rPr>
          <w:rFonts w:hint="eastAsia"/>
          <w:sz w:val="21"/>
          <w:szCs w:val="21"/>
        </w:rPr>
        <w:t>男女参画・女性の活躍推進課</w:t>
      </w:r>
      <w:r w:rsidRPr="00227057">
        <w:rPr>
          <w:rFonts w:hint="eastAsia"/>
          <w:sz w:val="21"/>
          <w:szCs w:val="21"/>
        </w:rPr>
        <w:t>副課長、</w:t>
      </w:r>
      <w:r>
        <w:rPr>
          <w:rFonts w:hint="eastAsia"/>
          <w:sz w:val="21"/>
          <w:szCs w:val="21"/>
        </w:rPr>
        <w:t>佐賀県立男女共同参画センター</w:t>
      </w:r>
      <w:r w:rsidR="002C123F">
        <w:rPr>
          <w:rFonts w:hint="eastAsia"/>
          <w:sz w:val="21"/>
          <w:szCs w:val="21"/>
        </w:rPr>
        <w:t>副</w:t>
      </w:r>
      <w:r>
        <w:rPr>
          <w:rFonts w:hint="eastAsia"/>
          <w:sz w:val="21"/>
          <w:szCs w:val="21"/>
        </w:rPr>
        <w:t>館長</w:t>
      </w:r>
      <w:r w:rsidRPr="00227057">
        <w:rPr>
          <w:rFonts w:hint="eastAsia"/>
          <w:sz w:val="21"/>
          <w:szCs w:val="21"/>
        </w:rPr>
        <w:t>による審査員３名で構成する。</w:t>
      </w:r>
    </w:p>
    <w:p w14:paraId="5A5A7B0B" w14:textId="3B443137" w:rsidR="00227057" w:rsidRPr="00227057" w:rsidRDefault="00227057" w:rsidP="00227057">
      <w:pPr>
        <w:pStyle w:val="Default"/>
        <w:ind w:leftChars="100" w:left="210" w:firstLineChars="100" w:firstLine="210"/>
        <w:rPr>
          <w:sz w:val="21"/>
          <w:szCs w:val="21"/>
        </w:rPr>
      </w:pPr>
      <w:r w:rsidRPr="00227057">
        <w:rPr>
          <w:rFonts w:hint="eastAsia"/>
          <w:sz w:val="21"/>
          <w:szCs w:val="21"/>
        </w:rPr>
        <w:t>（２）審査会の会長は、</w:t>
      </w:r>
      <w:r w:rsidR="009F559A">
        <w:rPr>
          <w:rFonts w:hint="eastAsia"/>
          <w:sz w:val="21"/>
          <w:szCs w:val="21"/>
        </w:rPr>
        <w:t>男女参画・女性の活躍推進</w:t>
      </w:r>
      <w:r w:rsidR="009F559A" w:rsidRPr="00227057">
        <w:rPr>
          <w:rFonts w:hint="eastAsia"/>
          <w:sz w:val="21"/>
          <w:szCs w:val="21"/>
        </w:rPr>
        <w:t>課長</w:t>
      </w:r>
      <w:r w:rsidRPr="00227057">
        <w:rPr>
          <w:rFonts w:hint="eastAsia"/>
          <w:sz w:val="21"/>
          <w:szCs w:val="21"/>
        </w:rPr>
        <w:t>が務める。</w:t>
      </w:r>
    </w:p>
    <w:p w14:paraId="5C2F3607" w14:textId="77777777" w:rsidR="00227057" w:rsidRPr="00227057" w:rsidRDefault="00227057" w:rsidP="00227057">
      <w:pPr>
        <w:pStyle w:val="Default"/>
        <w:ind w:leftChars="100" w:left="210" w:firstLineChars="100" w:firstLine="210"/>
        <w:rPr>
          <w:sz w:val="21"/>
          <w:szCs w:val="21"/>
        </w:rPr>
      </w:pPr>
      <w:r w:rsidRPr="00227057">
        <w:rPr>
          <w:rFonts w:hint="eastAsia"/>
          <w:sz w:val="21"/>
          <w:szCs w:val="21"/>
        </w:rPr>
        <w:t>（３）審査会は、書面での開催に代えることができるものとする。</w:t>
      </w:r>
    </w:p>
    <w:p w14:paraId="27FA5479" w14:textId="1A388D00" w:rsidR="00227057" w:rsidRDefault="00227057" w:rsidP="00227057">
      <w:pPr>
        <w:pStyle w:val="Default"/>
        <w:ind w:leftChars="100" w:left="210" w:firstLineChars="100" w:firstLine="210"/>
        <w:rPr>
          <w:sz w:val="21"/>
          <w:szCs w:val="21"/>
        </w:rPr>
      </w:pPr>
      <w:r w:rsidRPr="00227057">
        <w:rPr>
          <w:rFonts w:hint="eastAsia"/>
          <w:sz w:val="21"/>
          <w:szCs w:val="21"/>
        </w:rPr>
        <w:t>（４）審査会は、審査員の２名以上の参加がなければ開催できないものとする。</w:t>
      </w:r>
    </w:p>
    <w:p w14:paraId="55275292" w14:textId="2122C9D8" w:rsidR="00B77E80" w:rsidRDefault="00B77E80" w:rsidP="00655221">
      <w:pPr>
        <w:pStyle w:val="Default"/>
        <w:rPr>
          <w:sz w:val="21"/>
          <w:szCs w:val="21"/>
        </w:rPr>
      </w:pPr>
    </w:p>
    <w:p w14:paraId="1E74DC97" w14:textId="1BC046B2" w:rsidR="00474B08" w:rsidRDefault="00B77E80" w:rsidP="00474B08">
      <w:pPr>
        <w:pStyle w:val="Default"/>
        <w:rPr>
          <w:sz w:val="21"/>
          <w:szCs w:val="21"/>
        </w:rPr>
      </w:pPr>
      <w:r>
        <w:rPr>
          <w:rFonts w:hint="eastAsia"/>
          <w:sz w:val="21"/>
          <w:szCs w:val="21"/>
        </w:rPr>
        <w:t xml:space="preserve">４　</w:t>
      </w:r>
      <w:r w:rsidR="00474B08">
        <w:rPr>
          <w:rFonts w:hint="eastAsia"/>
          <w:sz w:val="21"/>
          <w:szCs w:val="21"/>
        </w:rPr>
        <w:t>評価基準</w:t>
      </w:r>
    </w:p>
    <w:p w14:paraId="043F40C9" w14:textId="77777777" w:rsidR="00474B08" w:rsidRDefault="00474B08" w:rsidP="00474B08">
      <w:pPr>
        <w:pStyle w:val="Default"/>
        <w:ind w:firstLineChars="200" w:firstLine="420"/>
        <w:rPr>
          <w:sz w:val="21"/>
          <w:szCs w:val="21"/>
        </w:rPr>
      </w:pPr>
      <w:r>
        <w:rPr>
          <w:rFonts w:hint="eastAsia"/>
          <w:sz w:val="21"/>
          <w:szCs w:val="21"/>
        </w:rPr>
        <w:t>評価基準は別表「評価基準及び評価計算」のとおり。</w:t>
      </w:r>
    </w:p>
    <w:p w14:paraId="7785C0F6" w14:textId="09A50DC7" w:rsidR="00B77E80" w:rsidRDefault="00B77E80" w:rsidP="00474B08">
      <w:pPr>
        <w:pStyle w:val="Default"/>
        <w:rPr>
          <w:sz w:val="21"/>
          <w:szCs w:val="21"/>
        </w:rPr>
      </w:pPr>
    </w:p>
    <w:p w14:paraId="6B924615" w14:textId="77777777" w:rsidR="00474B08" w:rsidRPr="00474B08" w:rsidRDefault="00474B08" w:rsidP="00474B08">
      <w:pPr>
        <w:pStyle w:val="Default"/>
        <w:rPr>
          <w:sz w:val="21"/>
          <w:szCs w:val="21"/>
        </w:rPr>
      </w:pPr>
      <w:r w:rsidRPr="00474B08">
        <w:rPr>
          <w:rFonts w:hint="eastAsia"/>
          <w:sz w:val="21"/>
          <w:szCs w:val="21"/>
        </w:rPr>
        <w:t>５　審査結果及び補助対象事業者の決定</w:t>
      </w:r>
    </w:p>
    <w:p w14:paraId="65977CAD" w14:textId="66D5C5B9" w:rsidR="00474B08" w:rsidRPr="00474B08" w:rsidRDefault="00474B08" w:rsidP="00474B08">
      <w:pPr>
        <w:pStyle w:val="Default"/>
        <w:rPr>
          <w:sz w:val="21"/>
          <w:szCs w:val="21"/>
        </w:rPr>
      </w:pPr>
      <w:r w:rsidRPr="00474B08">
        <w:rPr>
          <w:rFonts w:hint="eastAsia"/>
          <w:sz w:val="21"/>
          <w:szCs w:val="21"/>
        </w:rPr>
        <w:t>（１）審査結果は、審査会の会長が、評価基準ごとの各審査員の評点総計の合計点をふまえ、審査員の意見を聴取し予算の範囲内において</w:t>
      </w:r>
      <w:r w:rsidR="009F559A">
        <w:rPr>
          <w:rFonts w:hint="eastAsia"/>
          <w:sz w:val="21"/>
          <w:szCs w:val="21"/>
        </w:rPr>
        <w:t>助成金対象者</w:t>
      </w:r>
      <w:r w:rsidRPr="00474B08">
        <w:rPr>
          <w:rFonts w:hint="eastAsia"/>
          <w:sz w:val="21"/>
          <w:szCs w:val="21"/>
        </w:rPr>
        <w:t>を決定する。</w:t>
      </w:r>
    </w:p>
    <w:p w14:paraId="7F96EC29" w14:textId="75C9D9DB" w:rsidR="00474B08" w:rsidRPr="00474B08" w:rsidRDefault="00474B08" w:rsidP="00474B08">
      <w:pPr>
        <w:pStyle w:val="Default"/>
        <w:rPr>
          <w:sz w:val="21"/>
          <w:szCs w:val="21"/>
        </w:rPr>
      </w:pPr>
      <w:r w:rsidRPr="00474B08">
        <w:rPr>
          <w:rFonts w:hint="eastAsia"/>
          <w:sz w:val="21"/>
          <w:szCs w:val="21"/>
        </w:rPr>
        <w:t>（２）審査対象者の合計点が、評点総計の６割（</w:t>
      </w:r>
      <w:r w:rsidRPr="00474B08">
        <w:rPr>
          <w:sz w:val="21"/>
          <w:szCs w:val="21"/>
        </w:rPr>
        <w:t>300点</w:t>
      </w:r>
      <w:r w:rsidRPr="00474B08">
        <w:rPr>
          <w:sz w:val="21"/>
          <w:szCs w:val="21"/>
        </w:rPr>
        <w:t>×</w:t>
      </w:r>
      <w:r w:rsidRPr="00474B08">
        <w:rPr>
          <w:sz w:val="21"/>
          <w:szCs w:val="21"/>
        </w:rPr>
        <w:t>6/10= 180点）に満たない場合は、</w:t>
      </w:r>
      <w:r w:rsidR="009F559A">
        <w:rPr>
          <w:sz w:val="21"/>
          <w:szCs w:val="21"/>
        </w:rPr>
        <w:t>助成金対象者</w:t>
      </w:r>
      <w:r w:rsidRPr="00474B08">
        <w:rPr>
          <w:sz w:val="21"/>
          <w:szCs w:val="21"/>
        </w:rPr>
        <w:t>としては選定しない。</w:t>
      </w:r>
    </w:p>
    <w:p w14:paraId="5BEECFA3" w14:textId="2EDBCBAF" w:rsidR="00474B08" w:rsidRPr="00474B08" w:rsidRDefault="00474B08" w:rsidP="00474B08">
      <w:pPr>
        <w:pStyle w:val="Default"/>
        <w:rPr>
          <w:sz w:val="21"/>
          <w:szCs w:val="21"/>
        </w:rPr>
      </w:pPr>
      <w:r w:rsidRPr="00474B08">
        <w:rPr>
          <w:rFonts w:hint="eastAsia"/>
          <w:sz w:val="21"/>
          <w:szCs w:val="21"/>
        </w:rPr>
        <w:t>（３）審査結果は、応募者に対し、書面により</w:t>
      </w:r>
      <w:r w:rsidR="009F559A">
        <w:rPr>
          <w:rFonts w:hint="eastAsia"/>
          <w:sz w:val="21"/>
          <w:szCs w:val="21"/>
        </w:rPr>
        <w:t>助成金対象者</w:t>
      </w:r>
      <w:r w:rsidRPr="00474B08">
        <w:rPr>
          <w:rFonts w:hint="eastAsia"/>
          <w:sz w:val="21"/>
          <w:szCs w:val="21"/>
        </w:rPr>
        <w:t>としての採否を通知する。</w:t>
      </w:r>
    </w:p>
    <w:p w14:paraId="73A08C09" w14:textId="08C6D3D8" w:rsidR="00474B08" w:rsidRPr="00474B08" w:rsidRDefault="00474B08" w:rsidP="00474B08">
      <w:pPr>
        <w:pStyle w:val="Default"/>
        <w:rPr>
          <w:sz w:val="21"/>
          <w:szCs w:val="21"/>
        </w:rPr>
      </w:pPr>
      <w:r w:rsidRPr="00474B08">
        <w:rPr>
          <w:rFonts w:hint="eastAsia"/>
          <w:sz w:val="21"/>
          <w:szCs w:val="21"/>
        </w:rPr>
        <w:t>（４）</w:t>
      </w:r>
      <w:r w:rsidR="009F559A">
        <w:rPr>
          <w:rFonts w:hint="eastAsia"/>
          <w:sz w:val="21"/>
          <w:szCs w:val="21"/>
        </w:rPr>
        <w:t>助成金</w:t>
      </w:r>
      <w:r w:rsidRPr="00474B08">
        <w:rPr>
          <w:rFonts w:hint="eastAsia"/>
          <w:sz w:val="21"/>
          <w:szCs w:val="21"/>
        </w:rPr>
        <w:t>の交付は、佐賀県</w:t>
      </w:r>
      <w:r w:rsidR="009F559A">
        <w:rPr>
          <w:rFonts w:hint="eastAsia"/>
          <w:sz w:val="21"/>
          <w:szCs w:val="21"/>
        </w:rPr>
        <w:t>助成金</w:t>
      </w:r>
      <w:r w:rsidRPr="00474B08">
        <w:rPr>
          <w:rFonts w:hint="eastAsia"/>
          <w:sz w:val="21"/>
          <w:szCs w:val="21"/>
        </w:rPr>
        <w:t>等交付規則をはじめ関係する諸規定に基づき、必要な手続き及び審査を経て決定するものとする。</w:t>
      </w:r>
    </w:p>
    <w:p w14:paraId="76DDC31F" w14:textId="71291DB8" w:rsidR="00474B08" w:rsidRDefault="00474B08" w:rsidP="00474B08">
      <w:pPr>
        <w:pStyle w:val="Default"/>
        <w:rPr>
          <w:sz w:val="21"/>
          <w:szCs w:val="21"/>
        </w:rPr>
      </w:pPr>
      <w:r w:rsidRPr="00474B08">
        <w:rPr>
          <w:sz w:val="21"/>
          <w:szCs w:val="21"/>
        </w:rPr>
        <w:t> </w:t>
      </w:r>
    </w:p>
    <w:p w14:paraId="5793F383" w14:textId="77777777" w:rsidR="00655221" w:rsidRDefault="00655221" w:rsidP="00474B08">
      <w:pPr>
        <w:pStyle w:val="Default"/>
        <w:rPr>
          <w:sz w:val="21"/>
          <w:szCs w:val="21"/>
        </w:rPr>
      </w:pPr>
    </w:p>
    <w:p w14:paraId="14BC709E" w14:textId="77777777" w:rsidR="00655221" w:rsidRDefault="00655221" w:rsidP="00474B08">
      <w:pPr>
        <w:pStyle w:val="Default"/>
        <w:rPr>
          <w:sz w:val="21"/>
          <w:szCs w:val="21"/>
        </w:rPr>
      </w:pPr>
    </w:p>
    <w:p w14:paraId="5385BBD7" w14:textId="77777777" w:rsidR="00655221" w:rsidRDefault="00655221" w:rsidP="00474B08">
      <w:pPr>
        <w:pStyle w:val="Default"/>
        <w:rPr>
          <w:sz w:val="21"/>
          <w:szCs w:val="21"/>
        </w:rPr>
      </w:pPr>
    </w:p>
    <w:p w14:paraId="0DA9A6B6" w14:textId="77777777" w:rsidR="009F559A" w:rsidRDefault="009F559A" w:rsidP="00474B08">
      <w:pPr>
        <w:pStyle w:val="Default"/>
        <w:rPr>
          <w:sz w:val="21"/>
          <w:szCs w:val="21"/>
        </w:rPr>
      </w:pPr>
    </w:p>
    <w:p w14:paraId="75074B26" w14:textId="77777777" w:rsidR="00655221" w:rsidRDefault="00655221" w:rsidP="00655221">
      <w:pPr>
        <w:pStyle w:val="Default"/>
        <w:ind w:left="630" w:hangingChars="300" w:hanging="630"/>
        <w:rPr>
          <w:sz w:val="21"/>
          <w:szCs w:val="21"/>
        </w:rPr>
      </w:pPr>
      <w:r>
        <w:rPr>
          <w:rFonts w:hint="eastAsia"/>
          <w:sz w:val="21"/>
          <w:szCs w:val="21"/>
        </w:rPr>
        <w:lastRenderedPageBreak/>
        <w:t>別表　評価基準及び評価計算</w:t>
      </w:r>
    </w:p>
    <w:tbl>
      <w:tblPr>
        <w:tblStyle w:val="ae"/>
        <w:tblW w:w="8389" w:type="dxa"/>
        <w:tblLook w:val="04A0" w:firstRow="1" w:lastRow="0" w:firstColumn="1" w:lastColumn="0" w:noHBand="0" w:noVBand="1"/>
      </w:tblPr>
      <w:tblGrid>
        <w:gridCol w:w="1413"/>
        <w:gridCol w:w="4819"/>
        <w:gridCol w:w="606"/>
        <w:gridCol w:w="630"/>
        <w:gridCol w:w="921"/>
      </w:tblGrid>
      <w:tr w:rsidR="00655221" w14:paraId="5619B803" w14:textId="77777777" w:rsidTr="00DE7D23">
        <w:tc>
          <w:tcPr>
            <w:tcW w:w="1413" w:type="dxa"/>
          </w:tcPr>
          <w:p w14:paraId="18A04700" w14:textId="780DFEFA" w:rsidR="00655221" w:rsidRDefault="00655221" w:rsidP="00474B08">
            <w:pPr>
              <w:pStyle w:val="Default"/>
              <w:rPr>
                <w:sz w:val="21"/>
                <w:szCs w:val="21"/>
              </w:rPr>
            </w:pPr>
            <w:r>
              <w:rPr>
                <w:rFonts w:hint="eastAsia"/>
                <w:sz w:val="21"/>
                <w:szCs w:val="21"/>
              </w:rPr>
              <w:t>項目</w:t>
            </w:r>
          </w:p>
        </w:tc>
        <w:tc>
          <w:tcPr>
            <w:tcW w:w="4819" w:type="dxa"/>
          </w:tcPr>
          <w:p w14:paraId="57D09328" w14:textId="77777777" w:rsidR="00655221" w:rsidRDefault="00655221" w:rsidP="00474B08">
            <w:pPr>
              <w:pStyle w:val="Default"/>
              <w:rPr>
                <w:sz w:val="21"/>
                <w:szCs w:val="21"/>
              </w:rPr>
            </w:pPr>
          </w:p>
        </w:tc>
        <w:tc>
          <w:tcPr>
            <w:tcW w:w="1236" w:type="dxa"/>
            <w:gridSpan w:val="2"/>
          </w:tcPr>
          <w:p w14:paraId="58D8167C" w14:textId="656E5E4F" w:rsidR="00655221" w:rsidRDefault="00655221" w:rsidP="00474B08">
            <w:pPr>
              <w:pStyle w:val="Default"/>
              <w:rPr>
                <w:sz w:val="21"/>
                <w:szCs w:val="21"/>
              </w:rPr>
            </w:pPr>
            <w:r>
              <w:rPr>
                <w:rFonts w:hint="eastAsia"/>
                <w:sz w:val="21"/>
                <w:szCs w:val="21"/>
              </w:rPr>
              <w:t>得点配分</w:t>
            </w:r>
          </w:p>
        </w:tc>
        <w:tc>
          <w:tcPr>
            <w:tcW w:w="921" w:type="dxa"/>
          </w:tcPr>
          <w:p w14:paraId="74E37C05" w14:textId="467BC42B" w:rsidR="00655221" w:rsidRDefault="00655221" w:rsidP="00474B08">
            <w:pPr>
              <w:pStyle w:val="Default"/>
              <w:rPr>
                <w:sz w:val="21"/>
                <w:szCs w:val="21"/>
              </w:rPr>
            </w:pPr>
            <w:r>
              <w:rPr>
                <w:rFonts w:hint="eastAsia"/>
                <w:sz w:val="21"/>
                <w:szCs w:val="21"/>
              </w:rPr>
              <w:t>評点</w:t>
            </w:r>
          </w:p>
        </w:tc>
      </w:tr>
      <w:tr w:rsidR="00655221" w14:paraId="26109B7F" w14:textId="77777777" w:rsidTr="00DE7D23">
        <w:tc>
          <w:tcPr>
            <w:tcW w:w="1413" w:type="dxa"/>
            <w:vMerge w:val="restart"/>
          </w:tcPr>
          <w:p w14:paraId="33B53005" w14:textId="2B019CC7" w:rsidR="00655221" w:rsidRDefault="00655221" w:rsidP="00655221">
            <w:pPr>
              <w:pStyle w:val="Default"/>
              <w:rPr>
                <w:sz w:val="21"/>
                <w:szCs w:val="21"/>
              </w:rPr>
            </w:pPr>
            <w:r>
              <w:rPr>
                <w:rFonts w:hint="eastAsia"/>
                <w:sz w:val="21"/>
                <w:szCs w:val="21"/>
              </w:rPr>
              <w:t>事業内容に対する評価</w:t>
            </w:r>
          </w:p>
        </w:tc>
        <w:tc>
          <w:tcPr>
            <w:tcW w:w="4819" w:type="dxa"/>
          </w:tcPr>
          <w:p w14:paraId="48FFFCFE" w14:textId="02408CCC" w:rsidR="00655221" w:rsidRDefault="00655221" w:rsidP="00655221">
            <w:pPr>
              <w:pStyle w:val="Default"/>
              <w:rPr>
                <w:sz w:val="21"/>
                <w:szCs w:val="21"/>
              </w:rPr>
            </w:pPr>
            <w:r w:rsidRPr="00655221">
              <w:rPr>
                <w:rFonts w:hint="eastAsia"/>
                <w:sz w:val="21"/>
                <w:szCs w:val="21"/>
              </w:rPr>
              <w:t>〇</w:t>
            </w:r>
            <w:r w:rsidRPr="00655221">
              <w:rPr>
                <w:sz w:val="21"/>
                <w:szCs w:val="21"/>
              </w:rPr>
              <w:t xml:space="preserve"> 男女共同参画の視点が明確であり、男女共同参画の推進につながる取組であるか。</w:t>
            </w:r>
          </w:p>
        </w:tc>
        <w:tc>
          <w:tcPr>
            <w:tcW w:w="606" w:type="dxa"/>
          </w:tcPr>
          <w:p w14:paraId="1F997990" w14:textId="5F91758C" w:rsidR="00655221" w:rsidRDefault="00655221" w:rsidP="00655221">
            <w:pPr>
              <w:pStyle w:val="Default"/>
              <w:rPr>
                <w:sz w:val="21"/>
                <w:szCs w:val="21"/>
              </w:rPr>
            </w:pPr>
            <w:r>
              <w:rPr>
                <w:rFonts w:hint="eastAsia"/>
                <w:sz w:val="21"/>
                <w:szCs w:val="21"/>
              </w:rPr>
              <w:t>20</w:t>
            </w:r>
          </w:p>
        </w:tc>
        <w:tc>
          <w:tcPr>
            <w:tcW w:w="630" w:type="dxa"/>
            <w:vMerge w:val="restart"/>
          </w:tcPr>
          <w:p w14:paraId="5DD94242" w14:textId="5B193464" w:rsidR="00655221" w:rsidRDefault="00655221" w:rsidP="00655221">
            <w:pPr>
              <w:pStyle w:val="Default"/>
              <w:rPr>
                <w:sz w:val="21"/>
                <w:szCs w:val="21"/>
              </w:rPr>
            </w:pPr>
            <w:r>
              <w:rPr>
                <w:rFonts w:hint="eastAsia"/>
                <w:sz w:val="21"/>
                <w:szCs w:val="21"/>
              </w:rPr>
              <w:t>55</w:t>
            </w:r>
          </w:p>
        </w:tc>
        <w:tc>
          <w:tcPr>
            <w:tcW w:w="921" w:type="dxa"/>
          </w:tcPr>
          <w:p w14:paraId="72CFB99C" w14:textId="39C327F3" w:rsidR="00655221" w:rsidRDefault="00655221" w:rsidP="00655221">
            <w:pPr>
              <w:pStyle w:val="Default"/>
              <w:rPr>
                <w:sz w:val="21"/>
                <w:szCs w:val="21"/>
              </w:rPr>
            </w:pPr>
            <w:r>
              <w:rPr>
                <w:rFonts w:hint="eastAsia"/>
                <w:sz w:val="21"/>
                <w:szCs w:val="21"/>
              </w:rPr>
              <w:t>0～20</w:t>
            </w:r>
          </w:p>
        </w:tc>
      </w:tr>
      <w:tr w:rsidR="00655221" w14:paraId="48BEE668" w14:textId="77777777" w:rsidTr="00DE7D23">
        <w:tc>
          <w:tcPr>
            <w:tcW w:w="1413" w:type="dxa"/>
            <w:vMerge/>
          </w:tcPr>
          <w:p w14:paraId="662A1A7F" w14:textId="77777777" w:rsidR="00655221" w:rsidRDefault="00655221" w:rsidP="00655221">
            <w:pPr>
              <w:pStyle w:val="Default"/>
              <w:rPr>
                <w:sz w:val="21"/>
                <w:szCs w:val="21"/>
              </w:rPr>
            </w:pPr>
          </w:p>
        </w:tc>
        <w:tc>
          <w:tcPr>
            <w:tcW w:w="4819" w:type="dxa"/>
          </w:tcPr>
          <w:p w14:paraId="78475F49" w14:textId="737D5E15" w:rsidR="00655221" w:rsidRDefault="00655221" w:rsidP="00655221">
            <w:pPr>
              <w:pStyle w:val="Default"/>
              <w:rPr>
                <w:sz w:val="21"/>
                <w:szCs w:val="21"/>
              </w:rPr>
            </w:pPr>
            <w:r w:rsidRPr="00655221">
              <w:rPr>
                <w:rFonts w:hint="eastAsia"/>
                <w:sz w:val="21"/>
                <w:szCs w:val="21"/>
              </w:rPr>
              <w:t>〇</w:t>
            </w:r>
            <w:r w:rsidRPr="00214B86">
              <w:rPr>
                <w:rFonts w:hint="eastAsia"/>
                <w:sz w:val="21"/>
                <w:szCs w:val="21"/>
              </w:rPr>
              <w:t>事業内容に具体性や実現性があり、事業計画期間内に完了することが確実であるか。</w:t>
            </w:r>
          </w:p>
        </w:tc>
        <w:tc>
          <w:tcPr>
            <w:tcW w:w="606" w:type="dxa"/>
          </w:tcPr>
          <w:p w14:paraId="651F7BF6" w14:textId="4899A4E4" w:rsidR="00655221" w:rsidRDefault="00655221" w:rsidP="00655221">
            <w:pPr>
              <w:pStyle w:val="Default"/>
              <w:rPr>
                <w:sz w:val="21"/>
                <w:szCs w:val="21"/>
              </w:rPr>
            </w:pPr>
            <w:r>
              <w:rPr>
                <w:rFonts w:hint="eastAsia"/>
                <w:sz w:val="21"/>
                <w:szCs w:val="21"/>
              </w:rPr>
              <w:t>15</w:t>
            </w:r>
          </w:p>
        </w:tc>
        <w:tc>
          <w:tcPr>
            <w:tcW w:w="630" w:type="dxa"/>
            <w:vMerge/>
          </w:tcPr>
          <w:p w14:paraId="03E383BB" w14:textId="77777777" w:rsidR="00655221" w:rsidRDefault="00655221" w:rsidP="00655221">
            <w:pPr>
              <w:pStyle w:val="Default"/>
              <w:rPr>
                <w:sz w:val="21"/>
                <w:szCs w:val="21"/>
              </w:rPr>
            </w:pPr>
          </w:p>
        </w:tc>
        <w:tc>
          <w:tcPr>
            <w:tcW w:w="921" w:type="dxa"/>
          </w:tcPr>
          <w:p w14:paraId="4A415DF9" w14:textId="0AEC2514" w:rsidR="00655221" w:rsidRDefault="00655221" w:rsidP="00655221">
            <w:pPr>
              <w:pStyle w:val="Default"/>
              <w:rPr>
                <w:sz w:val="21"/>
                <w:szCs w:val="21"/>
              </w:rPr>
            </w:pPr>
            <w:r>
              <w:rPr>
                <w:rFonts w:hint="eastAsia"/>
                <w:sz w:val="21"/>
                <w:szCs w:val="21"/>
              </w:rPr>
              <w:t>0～15</w:t>
            </w:r>
          </w:p>
        </w:tc>
      </w:tr>
      <w:tr w:rsidR="00655221" w14:paraId="30B1701A" w14:textId="77777777" w:rsidTr="00DE7D23">
        <w:tc>
          <w:tcPr>
            <w:tcW w:w="1413" w:type="dxa"/>
            <w:vMerge/>
          </w:tcPr>
          <w:p w14:paraId="5E9A1286" w14:textId="77777777" w:rsidR="00655221" w:rsidRDefault="00655221" w:rsidP="00655221">
            <w:pPr>
              <w:pStyle w:val="Default"/>
              <w:rPr>
                <w:sz w:val="21"/>
                <w:szCs w:val="21"/>
              </w:rPr>
            </w:pPr>
          </w:p>
        </w:tc>
        <w:tc>
          <w:tcPr>
            <w:tcW w:w="4819" w:type="dxa"/>
          </w:tcPr>
          <w:p w14:paraId="57C58A5A" w14:textId="446D4FD7" w:rsidR="00655221" w:rsidRDefault="00655221" w:rsidP="00655221">
            <w:pPr>
              <w:pStyle w:val="Default"/>
              <w:rPr>
                <w:sz w:val="21"/>
                <w:szCs w:val="21"/>
              </w:rPr>
            </w:pPr>
            <w:r w:rsidRPr="00655221">
              <w:rPr>
                <w:rFonts w:hint="eastAsia"/>
                <w:sz w:val="21"/>
                <w:szCs w:val="21"/>
              </w:rPr>
              <w:t>〇</w:t>
            </w:r>
            <w:r w:rsidRPr="00655221">
              <w:rPr>
                <w:sz w:val="21"/>
                <w:szCs w:val="21"/>
              </w:rPr>
              <w:t xml:space="preserve"> </w:t>
            </w:r>
            <w:r w:rsidRPr="00214B86">
              <w:rPr>
                <w:rFonts w:hint="eastAsia"/>
                <w:sz w:val="21"/>
                <w:szCs w:val="21"/>
              </w:rPr>
              <w:t>ターゲットは明確に整理されているか。</w:t>
            </w:r>
          </w:p>
        </w:tc>
        <w:tc>
          <w:tcPr>
            <w:tcW w:w="606" w:type="dxa"/>
          </w:tcPr>
          <w:p w14:paraId="50597935" w14:textId="6CEABAD1" w:rsidR="00655221" w:rsidRDefault="00655221" w:rsidP="00655221">
            <w:pPr>
              <w:pStyle w:val="Default"/>
              <w:rPr>
                <w:sz w:val="21"/>
                <w:szCs w:val="21"/>
              </w:rPr>
            </w:pPr>
            <w:r>
              <w:rPr>
                <w:rFonts w:hint="eastAsia"/>
                <w:sz w:val="21"/>
                <w:szCs w:val="21"/>
              </w:rPr>
              <w:t>10</w:t>
            </w:r>
          </w:p>
        </w:tc>
        <w:tc>
          <w:tcPr>
            <w:tcW w:w="630" w:type="dxa"/>
            <w:vMerge/>
          </w:tcPr>
          <w:p w14:paraId="138BD048" w14:textId="77777777" w:rsidR="00655221" w:rsidRDefault="00655221" w:rsidP="00655221">
            <w:pPr>
              <w:pStyle w:val="Default"/>
              <w:rPr>
                <w:sz w:val="21"/>
                <w:szCs w:val="21"/>
              </w:rPr>
            </w:pPr>
          </w:p>
        </w:tc>
        <w:tc>
          <w:tcPr>
            <w:tcW w:w="921" w:type="dxa"/>
          </w:tcPr>
          <w:p w14:paraId="75C20E74" w14:textId="27DBE936" w:rsidR="00655221" w:rsidRDefault="00655221" w:rsidP="00655221">
            <w:pPr>
              <w:pStyle w:val="Default"/>
              <w:rPr>
                <w:sz w:val="21"/>
                <w:szCs w:val="21"/>
              </w:rPr>
            </w:pPr>
            <w:r>
              <w:rPr>
                <w:rFonts w:hint="eastAsia"/>
                <w:sz w:val="21"/>
                <w:szCs w:val="21"/>
              </w:rPr>
              <w:t>0～10</w:t>
            </w:r>
          </w:p>
        </w:tc>
      </w:tr>
      <w:tr w:rsidR="00655221" w14:paraId="2A22FAC2" w14:textId="77777777" w:rsidTr="00DE7D23">
        <w:tc>
          <w:tcPr>
            <w:tcW w:w="1413" w:type="dxa"/>
            <w:vMerge/>
          </w:tcPr>
          <w:p w14:paraId="222667F2" w14:textId="77777777" w:rsidR="00655221" w:rsidRDefault="00655221" w:rsidP="00655221">
            <w:pPr>
              <w:pStyle w:val="Default"/>
              <w:rPr>
                <w:sz w:val="21"/>
                <w:szCs w:val="21"/>
              </w:rPr>
            </w:pPr>
          </w:p>
        </w:tc>
        <w:tc>
          <w:tcPr>
            <w:tcW w:w="4819" w:type="dxa"/>
          </w:tcPr>
          <w:p w14:paraId="366E61DE" w14:textId="0089FDAC" w:rsidR="00655221" w:rsidRDefault="00655221" w:rsidP="00655221">
            <w:pPr>
              <w:pStyle w:val="Default"/>
              <w:rPr>
                <w:sz w:val="21"/>
                <w:szCs w:val="21"/>
              </w:rPr>
            </w:pPr>
            <w:r w:rsidRPr="00214B86">
              <w:rPr>
                <w:rFonts w:hint="eastAsia"/>
                <w:color w:val="auto"/>
                <w:sz w:val="21"/>
                <w:szCs w:val="21"/>
              </w:rPr>
              <w:t>〇実施しようとする事業の経費の算定及び事業規模、使途は適切か。</w:t>
            </w:r>
          </w:p>
        </w:tc>
        <w:tc>
          <w:tcPr>
            <w:tcW w:w="606" w:type="dxa"/>
          </w:tcPr>
          <w:p w14:paraId="43AD48E8" w14:textId="7BAE573A" w:rsidR="00655221" w:rsidRDefault="00655221" w:rsidP="00655221">
            <w:pPr>
              <w:pStyle w:val="Default"/>
              <w:rPr>
                <w:sz w:val="21"/>
                <w:szCs w:val="21"/>
              </w:rPr>
            </w:pPr>
            <w:r>
              <w:rPr>
                <w:rFonts w:hint="eastAsia"/>
                <w:sz w:val="21"/>
                <w:szCs w:val="21"/>
              </w:rPr>
              <w:t>10</w:t>
            </w:r>
          </w:p>
        </w:tc>
        <w:tc>
          <w:tcPr>
            <w:tcW w:w="630" w:type="dxa"/>
            <w:vMerge/>
          </w:tcPr>
          <w:p w14:paraId="69D2BC27" w14:textId="77777777" w:rsidR="00655221" w:rsidRDefault="00655221" w:rsidP="00655221">
            <w:pPr>
              <w:pStyle w:val="Default"/>
              <w:rPr>
                <w:sz w:val="21"/>
                <w:szCs w:val="21"/>
              </w:rPr>
            </w:pPr>
          </w:p>
        </w:tc>
        <w:tc>
          <w:tcPr>
            <w:tcW w:w="921" w:type="dxa"/>
          </w:tcPr>
          <w:p w14:paraId="54891622" w14:textId="455CA539" w:rsidR="00655221" w:rsidRDefault="00655221" w:rsidP="00655221">
            <w:pPr>
              <w:pStyle w:val="Default"/>
              <w:rPr>
                <w:sz w:val="21"/>
                <w:szCs w:val="21"/>
              </w:rPr>
            </w:pPr>
            <w:r>
              <w:rPr>
                <w:rFonts w:hint="eastAsia"/>
                <w:sz w:val="21"/>
                <w:szCs w:val="21"/>
              </w:rPr>
              <w:t>0～10</w:t>
            </w:r>
          </w:p>
        </w:tc>
      </w:tr>
      <w:tr w:rsidR="00DE7D23" w14:paraId="4C4722E2" w14:textId="77777777" w:rsidTr="00DE7D23">
        <w:tc>
          <w:tcPr>
            <w:tcW w:w="1413" w:type="dxa"/>
            <w:vMerge w:val="restart"/>
          </w:tcPr>
          <w:p w14:paraId="1AFAA73E" w14:textId="3F3A5807" w:rsidR="00DE7D23" w:rsidRDefault="00DE7D23" w:rsidP="00655221">
            <w:pPr>
              <w:pStyle w:val="Default"/>
              <w:rPr>
                <w:sz w:val="21"/>
                <w:szCs w:val="21"/>
              </w:rPr>
            </w:pPr>
            <w:r w:rsidRPr="00655221">
              <w:rPr>
                <w:rFonts w:hint="eastAsia"/>
                <w:sz w:val="21"/>
                <w:szCs w:val="21"/>
              </w:rPr>
              <w:t>業務遂行体制に対する評価</w:t>
            </w:r>
          </w:p>
        </w:tc>
        <w:tc>
          <w:tcPr>
            <w:tcW w:w="4819" w:type="dxa"/>
          </w:tcPr>
          <w:p w14:paraId="1CEEA2EF" w14:textId="234B09EE" w:rsidR="00DE7D23" w:rsidRDefault="00DE7D23" w:rsidP="00655221">
            <w:pPr>
              <w:pStyle w:val="Default"/>
              <w:rPr>
                <w:sz w:val="21"/>
                <w:szCs w:val="21"/>
              </w:rPr>
            </w:pPr>
            <w:r w:rsidRPr="00214B86">
              <w:rPr>
                <w:rFonts w:hint="eastAsia"/>
                <w:color w:val="auto"/>
                <w:sz w:val="21"/>
                <w:szCs w:val="21"/>
              </w:rPr>
              <w:t>〇</w:t>
            </w:r>
            <w:r w:rsidRPr="00655221">
              <w:rPr>
                <w:sz w:val="21"/>
                <w:szCs w:val="21"/>
              </w:rPr>
              <w:t>準備から企画実施、実績報告まで、団体が主体的に実施できる体制であるか。</w:t>
            </w:r>
          </w:p>
        </w:tc>
        <w:tc>
          <w:tcPr>
            <w:tcW w:w="606" w:type="dxa"/>
          </w:tcPr>
          <w:p w14:paraId="09ED6127" w14:textId="07CE886D" w:rsidR="00DE7D23" w:rsidRDefault="00DE7D23" w:rsidP="00655221">
            <w:pPr>
              <w:pStyle w:val="Default"/>
              <w:rPr>
                <w:sz w:val="21"/>
                <w:szCs w:val="21"/>
              </w:rPr>
            </w:pPr>
            <w:r>
              <w:rPr>
                <w:rFonts w:hint="eastAsia"/>
                <w:sz w:val="21"/>
                <w:szCs w:val="21"/>
              </w:rPr>
              <w:t>10</w:t>
            </w:r>
          </w:p>
        </w:tc>
        <w:tc>
          <w:tcPr>
            <w:tcW w:w="630" w:type="dxa"/>
            <w:vMerge w:val="restart"/>
          </w:tcPr>
          <w:p w14:paraId="72B4BCBA" w14:textId="23D425AF" w:rsidR="00DE7D23" w:rsidRDefault="00DE7D23" w:rsidP="00655221">
            <w:pPr>
              <w:pStyle w:val="Default"/>
              <w:rPr>
                <w:sz w:val="21"/>
                <w:szCs w:val="21"/>
              </w:rPr>
            </w:pPr>
            <w:r>
              <w:rPr>
                <w:rFonts w:hint="eastAsia"/>
                <w:sz w:val="21"/>
                <w:szCs w:val="21"/>
              </w:rPr>
              <w:t>30</w:t>
            </w:r>
          </w:p>
        </w:tc>
        <w:tc>
          <w:tcPr>
            <w:tcW w:w="921" w:type="dxa"/>
          </w:tcPr>
          <w:p w14:paraId="1AB9282E" w14:textId="6668B067" w:rsidR="00DE7D23" w:rsidRDefault="00DE7D23" w:rsidP="00655221">
            <w:pPr>
              <w:pStyle w:val="Default"/>
              <w:rPr>
                <w:sz w:val="21"/>
                <w:szCs w:val="21"/>
              </w:rPr>
            </w:pPr>
            <w:r>
              <w:rPr>
                <w:rFonts w:hint="eastAsia"/>
                <w:sz w:val="21"/>
                <w:szCs w:val="21"/>
              </w:rPr>
              <w:t>0～10</w:t>
            </w:r>
          </w:p>
        </w:tc>
      </w:tr>
      <w:tr w:rsidR="00DE7D23" w14:paraId="42EF7405" w14:textId="77777777" w:rsidTr="00DE7D23">
        <w:tc>
          <w:tcPr>
            <w:tcW w:w="1413" w:type="dxa"/>
            <w:vMerge/>
          </w:tcPr>
          <w:p w14:paraId="05BFD9A0" w14:textId="77777777" w:rsidR="00DE7D23" w:rsidRPr="00655221" w:rsidRDefault="00DE7D23" w:rsidP="00655221">
            <w:pPr>
              <w:pStyle w:val="Default"/>
              <w:rPr>
                <w:sz w:val="21"/>
                <w:szCs w:val="21"/>
              </w:rPr>
            </w:pPr>
          </w:p>
        </w:tc>
        <w:tc>
          <w:tcPr>
            <w:tcW w:w="4819" w:type="dxa"/>
          </w:tcPr>
          <w:p w14:paraId="2C0C95A2" w14:textId="10C8B54C" w:rsidR="00DE7D23" w:rsidRDefault="00DE7D23" w:rsidP="00655221">
            <w:pPr>
              <w:pStyle w:val="Default"/>
              <w:rPr>
                <w:sz w:val="21"/>
                <w:szCs w:val="21"/>
              </w:rPr>
            </w:pPr>
            <w:r w:rsidRPr="00214B86">
              <w:rPr>
                <w:rFonts w:hint="eastAsia"/>
                <w:color w:val="auto"/>
                <w:sz w:val="21"/>
                <w:szCs w:val="21"/>
              </w:rPr>
              <w:t>〇</w:t>
            </w:r>
            <w:r w:rsidRPr="00655221">
              <w:rPr>
                <w:sz w:val="21"/>
                <w:szCs w:val="21"/>
              </w:rPr>
              <w:t>関係団体等との連携が図られており、円滑な事業実施が見込めるか。</w:t>
            </w:r>
          </w:p>
        </w:tc>
        <w:tc>
          <w:tcPr>
            <w:tcW w:w="606" w:type="dxa"/>
          </w:tcPr>
          <w:p w14:paraId="79D53EC4" w14:textId="7E39DB87" w:rsidR="00DE7D23" w:rsidRDefault="00DE7D23" w:rsidP="00655221">
            <w:pPr>
              <w:pStyle w:val="Default"/>
              <w:rPr>
                <w:sz w:val="21"/>
                <w:szCs w:val="21"/>
              </w:rPr>
            </w:pPr>
            <w:r>
              <w:rPr>
                <w:rFonts w:hint="eastAsia"/>
                <w:sz w:val="21"/>
                <w:szCs w:val="21"/>
              </w:rPr>
              <w:t>10</w:t>
            </w:r>
          </w:p>
        </w:tc>
        <w:tc>
          <w:tcPr>
            <w:tcW w:w="630" w:type="dxa"/>
            <w:vMerge/>
          </w:tcPr>
          <w:p w14:paraId="04D5DA05" w14:textId="77777777" w:rsidR="00DE7D23" w:rsidRDefault="00DE7D23" w:rsidP="00655221">
            <w:pPr>
              <w:pStyle w:val="Default"/>
              <w:rPr>
                <w:sz w:val="21"/>
                <w:szCs w:val="21"/>
              </w:rPr>
            </w:pPr>
          </w:p>
        </w:tc>
        <w:tc>
          <w:tcPr>
            <w:tcW w:w="921" w:type="dxa"/>
          </w:tcPr>
          <w:p w14:paraId="1B19AC30" w14:textId="0361508E" w:rsidR="00DE7D23" w:rsidRDefault="00DE7D23" w:rsidP="00655221">
            <w:pPr>
              <w:pStyle w:val="Default"/>
              <w:rPr>
                <w:sz w:val="21"/>
                <w:szCs w:val="21"/>
              </w:rPr>
            </w:pPr>
            <w:r>
              <w:rPr>
                <w:rFonts w:hint="eastAsia"/>
                <w:sz w:val="21"/>
                <w:szCs w:val="21"/>
              </w:rPr>
              <w:t>0～10</w:t>
            </w:r>
          </w:p>
        </w:tc>
      </w:tr>
      <w:tr w:rsidR="00DE7D23" w14:paraId="199E5314" w14:textId="77777777" w:rsidTr="00DE7D23">
        <w:tc>
          <w:tcPr>
            <w:tcW w:w="1413" w:type="dxa"/>
            <w:vMerge/>
          </w:tcPr>
          <w:p w14:paraId="1F2F067C" w14:textId="76398066" w:rsidR="00DE7D23" w:rsidRPr="00655221" w:rsidRDefault="00DE7D23" w:rsidP="00655221">
            <w:pPr>
              <w:pStyle w:val="Default"/>
              <w:rPr>
                <w:sz w:val="21"/>
                <w:szCs w:val="21"/>
              </w:rPr>
            </w:pPr>
          </w:p>
        </w:tc>
        <w:tc>
          <w:tcPr>
            <w:tcW w:w="4819" w:type="dxa"/>
          </w:tcPr>
          <w:p w14:paraId="6A1895FE" w14:textId="0D679EF9" w:rsidR="00DE7D23" w:rsidRDefault="00DE7D23" w:rsidP="00655221">
            <w:pPr>
              <w:pStyle w:val="Default"/>
              <w:rPr>
                <w:sz w:val="21"/>
                <w:szCs w:val="21"/>
              </w:rPr>
            </w:pPr>
            <w:r w:rsidRPr="00214B86">
              <w:rPr>
                <w:rFonts w:hint="eastAsia"/>
                <w:color w:val="auto"/>
                <w:sz w:val="21"/>
                <w:szCs w:val="21"/>
              </w:rPr>
              <w:t>〇</w:t>
            </w:r>
            <w:r w:rsidRPr="00DE7D23">
              <w:rPr>
                <w:rFonts w:hint="eastAsia"/>
                <w:sz w:val="21"/>
                <w:szCs w:val="21"/>
              </w:rPr>
              <w:t>企画内容及び経費見積もりが具体的で実施可能であるか。</w:t>
            </w:r>
          </w:p>
        </w:tc>
        <w:tc>
          <w:tcPr>
            <w:tcW w:w="606" w:type="dxa"/>
          </w:tcPr>
          <w:p w14:paraId="4C3F0E09" w14:textId="4F98681A" w:rsidR="00DE7D23" w:rsidRDefault="00DE7D23" w:rsidP="00655221">
            <w:pPr>
              <w:pStyle w:val="Default"/>
              <w:rPr>
                <w:sz w:val="21"/>
                <w:szCs w:val="21"/>
              </w:rPr>
            </w:pPr>
            <w:r>
              <w:rPr>
                <w:rFonts w:hint="eastAsia"/>
                <w:sz w:val="21"/>
                <w:szCs w:val="21"/>
              </w:rPr>
              <w:t>10</w:t>
            </w:r>
          </w:p>
        </w:tc>
        <w:tc>
          <w:tcPr>
            <w:tcW w:w="630" w:type="dxa"/>
            <w:vMerge/>
          </w:tcPr>
          <w:p w14:paraId="2A0A442A" w14:textId="77777777" w:rsidR="00DE7D23" w:rsidRDefault="00DE7D23" w:rsidP="00655221">
            <w:pPr>
              <w:pStyle w:val="Default"/>
              <w:rPr>
                <w:sz w:val="21"/>
                <w:szCs w:val="21"/>
              </w:rPr>
            </w:pPr>
          </w:p>
        </w:tc>
        <w:tc>
          <w:tcPr>
            <w:tcW w:w="921" w:type="dxa"/>
          </w:tcPr>
          <w:p w14:paraId="66E5D161" w14:textId="7BA03D53" w:rsidR="00DE7D23" w:rsidRDefault="00DE7D23" w:rsidP="00655221">
            <w:pPr>
              <w:pStyle w:val="Default"/>
              <w:rPr>
                <w:sz w:val="21"/>
                <w:szCs w:val="21"/>
              </w:rPr>
            </w:pPr>
            <w:r>
              <w:rPr>
                <w:rFonts w:hint="eastAsia"/>
                <w:sz w:val="21"/>
                <w:szCs w:val="21"/>
              </w:rPr>
              <w:t>0～10</w:t>
            </w:r>
          </w:p>
        </w:tc>
      </w:tr>
      <w:tr w:rsidR="00655221" w14:paraId="31E81716" w14:textId="77777777" w:rsidTr="00DE7D23">
        <w:tc>
          <w:tcPr>
            <w:tcW w:w="1413" w:type="dxa"/>
          </w:tcPr>
          <w:p w14:paraId="12FE0040" w14:textId="512E3F26" w:rsidR="00655221" w:rsidRPr="00655221" w:rsidRDefault="00DE7D23" w:rsidP="00655221">
            <w:pPr>
              <w:pStyle w:val="Default"/>
              <w:rPr>
                <w:sz w:val="21"/>
                <w:szCs w:val="21"/>
              </w:rPr>
            </w:pPr>
            <w:r w:rsidRPr="00DE7D23">
              <w:rPr>
                <w:rFonts w:hint="eastAsia"/>
                <w:sz w:val="21"/>
                <w:szCs w:val="21"/>
              </w:rPr>
              <w:t>事業の継続性に対する評価</w:t>
            </w:r>
          </w:p>
        </w:tc>
        <w:tc>
          <w:tcPr>
            <w:tcW w:w="4819" w:type="dxa"/>
          </w:tcPr>
          <w:p w14:paraId="355C59DD" w14:textId="0321A1DB" w:rsidR="00655221" w:rsidRDefault="00DE7D23" w:rsidP="00655221">
            <w:pPr>
              <w:pStyle w:val="Default"/>
              <w:rPr>
                <w:sz w:val="21"/>
                <w:szCs w:val="21"/>
              </w:rPr>
            </w:pPr>
            <w:r w:rsidRPr="00214B86">
              <w:rPr>
                <w:rFonts w:hint="eastAsia"/>
                <w:sz w:val="21"/>
                <w:szCs w:val="21"/>
              </w:rPr>
              <w:t>〇事業の継続性が担保できているか。</w:t>
            </w:r>
          </w:p>
        </w:tc>
        <w:tc>
          <w:tcPr>
            <w:tcW w:w="606" w:type="dxa"/>
          </w:tcPr>
          <w:p w14:paraId="32F0391F" w14:textId="53F4347D" w:rsidR="00655221" w:rsidRDefault="00DE7D23" w:rsidP="00655221">
            <w:pPr>
              <w:pStyle w:val="Default"/>
              <w:rPr>
                <w:sz w:val="21"/>
                <w:szCs w:val="21"/>
              </w:rPr>
            </w:pPr>
            <w:r>
              <w:rPr>
                <w:rFonts w:hint="eastAsia"/>
                <w:sz w:val="21"/>
                <w:szCs w:val="21"/>
              </w:rPr>
              <w:t>15</w:t>
            </w:r>
          </w:p>
        </w:tc>
        <w:tc>
          <w:tcPr>
            <w:tcW w:w="630" w:type="dxa"/>
          </w:tcPr>
          <w:p w14:paraId="44CC18D4" w14:textId="0EC9EF0F" w:rsidR="00655221" w:rsidRDefault="00DE7D23" w:rsidP="00655221">
            <w:pPr>
              <w:pStyle w:val="Default"/>
              <w:rPr>
                <w:sz w:val="21"/>
                <w:szCs w:val="21"/>
              </w:rPr>
            </w:pPr>
            <w:r>
              <w:rPr>
                <w:rFonts w:hint="eastAsia"/>
                <w:sz w:val="21"/>
                <w:szCs w:val="21"/>
              </w:rPr>
              <w:t>15</w:t>
            </w:r>
          </w:p>
        </w:tc>
        <w:tc>
          <w:tcPr>
            <w:tcW w:w="921" w:type="dxa"/>
          </w:tcPr>
          <w:p w14:paraId="64E14A31" w14:textId="35D8AC21" w:rsidR="00655221" w:rsidRDefault="00DE7D23" w:rsidP="00655221">
            <w:pPr>
              <w:pStyle w:val="Default"/>
              <w:rPr>
                <w:sz w:val="21"/>
                <w:szCs w:val="21"/>
              </w:rPr>
            </w:pPr>
            <w:r>
              <w:rPr>
                <w:rFonts w:hint="eastAsia"/>
                <w:sz w:val="21"/>
                <w:szCs w:val="21"/>
              </w:rPr>
              <w:t>0～15</w:t>
            </w:r>
          </w:p>
        </w:tc>
      </w:tr>
      <w:tr w:rsidR="00DE7D23" w14:paraId="1E06E524" w14:textId="77777777" w:rsidTr="00977970">
        <w:tc>
          <w:tcPr>
            <w:tcW w:w="6232" w:type="dxa"/>
            <w:gridSpan w:val="2"/>
          </w:tcPr>
          <w:p w14:paraId="3E661619" w14:textId="49C5413F" w:rsidR="00DE7D23" w:rsidRPr="00214B86" w:rsidRDefault="00DE7D23" w:rsidP="00DE7D23">
            <w:pPr>
              <w:pStyle w:val="Default"/>
              <w:jc w:val="center"/>
              <w:rPr>
                <w:sz w:val="21"/>
                <w:szCs w:val="21"/>
              </w:rPr>
            </w:pPr>
            <w:r>
              <w:rPr>
                <w:rFonts w:hint="eastAsia"/>
                <w:sz w:val="21"/>
                <w:szCs w:val="21"/>
              </w:rPr>
              <w:t>合計</w:t>
            </w:r>
          </w:p>
        </w:tc>
        <w:tc>
          <w:tcPr>
            <w:tcW w:w="1236" w:type="dxa"/>
            <w:gridSpan w:val="2"/>
          </w:tcPr>
          <w:p w14:paraId="2BCB1D51" w14:textId="29115453" w:rsidR="00DE7D23" w:rsidRDefault="00DE7D23" w:rsidP="00655221">
            <w:pPr>
              <w:pStyle w:val="Default"/>
              <w:rPr>
                <w:sz w:val="21"/>
                <w:szCs w:val="21"/>
              </w:rPr>
            </w:pPr>
            <w:r>
              <w:rPr>
                <w:rFonts w:hint="eastAsia"/>
                <w:sz w:val="21"/>
                <w:szCs w:val="21"/>
              </w:rPr>
              <w:t>100</w:t>
            </w:r>
          </w:p>
        </w:tc>
        <w:tc>
          <w:tcPr>
            <w:tcW w:w="921" w:type="dxa"/>
          </w:tcPr>
          <w:p w14:paraId="2A3067B2" w14:textId="1D24A4B3" w:rsidR="00DE7D23" w:rsidRDefault="00DE7D23" w:rsidP="00655221">
            <w:pPr>
              <w:pStyle w:val="Default"/>
              <w:rPr>
                <w:sz w:val="21"/>
                <w:szCs w:val="21"/>
              </w:rPr>
            </w:pPr>
            <w:r>
              <w:rPr>
                <w:rFonts w:hint="eastAsia"/>
                <w:sz w:val="21"/>
                <w:szCs w:val="21"/>
              </w:rPr>
              <w:t>0～100</w:t>
            </w:r>
          </w:p>
        </w:tc>
      </w:tr>
    </w:tbl>
    <w:p w14:paraId="00D44231" w14:textId="77777777" w:rsidR="00655221" w:rsidRPr="00655221" w:rsidRDefault="00655221" w:rsidP="00474B08">
      <w:pPr>
        <w:pStyle w:val="Default"/>
        <w:rPr>
          <w:sz w:val="21"/>
          <w:szCs w:val="21"/>
        </w:rPr>
      </w:pPr>
    </w:p>
    <w:sectPr w:rsidR="00655221" w:rsidRPr="006552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099FB" w14:textId="77777777" w:rsidR="00B77E80" w:rsidRDefault="00B77E80" w:rsidP="00B77E80">
      <w:r>
        <w:separator/>
      </w:r>
    </w:p>
  </w:endnote>
  <w:endnote w:type="continuationSeparator" w:id="0">
    <w:p w14:paraId="5116A1E7" w14:textId="77777777" w:rsidR="00B77E80" w:rsidRDefault="00B77E80" w:rsidP="00B7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C2B5" w14:textId="77777777" w:rsidR="00B77E80" w:rsidRDefault="00B77E80" w:rsidP="00B77E80">
      <w:r>
        <w:separator/>
      </w:r>
    </w:p>
  </w:footnote>
  <w:footnote w:type="continuationSeparator" w:id="0">
    <w:p w14:paraId="5E86E6F3" w14:textId="77777777" w:rsidR="00B77E80" w:rsidRDefault="00B77E80" w:rsidP="00B77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DC"/>
    <w:rsid w:val="00227057"/>
    <w:rsid w:val="002867DC"/>
    <w:rsid w:val="002C123F"/>
    <w:rsid w:val="002F234F"/>
    <w:rsid w:val="00474B08"/>
    <w:rsid w:val="00520F7B"/>
    <w:rsid w:val="00655221"/>
    <w:rsid w:val="007845F7"/>
    <w:rsid w:val="00877A90"/>
    <w:rsid w:val="008F43B6"/>
    <w:rsid w:val="009F559A"/>
    <w:rsid w:val="00B77E80"/>
    <w:rsid w:val="00BB1D4E"/>
    <w:rsid w:val="00C41BC8"/>
    <w:rsid w:val="00DE7D23"/>
    <w:rsid w:val="00F86779"/>
    <w:rsid w:val="00F90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48766F"/>
  <w15:chartTrackingRefBased/>
  <w15:docId w15:val="{3FEA501C-2D00-454A-920F-BD3CB861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E80"/>
    <w:pPr>
      <w:widowControl w:val="0"/>
      <w:jc w:val="both"/>
    </w:pPr>
  </w:style>
  <w:style w:type="paragraph" w:styleId="1">
    <w:name w:val="heading 1"/>
    <w:basedOn w:val="a"/>
    <w:next w:val="a"/>
    <w:link w:val="10"/>
    <w:uiPriority w:val="9"/>
    <w:qFormat/>
    <w:rsid w:val="002867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67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67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67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67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67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67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67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67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67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67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67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67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67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67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67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67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67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67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6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7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6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7DC"/>
    <w:pPr>
      <w:spacing w:before="160" w:after="160"/>
      <w:jc w:val="center"/>
    </w:pPr>
    <w:rPr>
      <w:i/>
      <w:iCs/>
      <w:color w:val="404040" w:themeColor="text1" w:themeTint="BF"/>
    </w:rPr>
  </w:style>
  <w:style w:type="character" w:customStyle="1" w:styleId="a8">
    <w:name w:val="引用文 (文字)"/>
    <w:basedOn w:val="a0"/>
    <w:link w:val="a7"/>
    <w:uiPriority w:val="29"/>
    <w:rsid w:val="002867DC"/>
    <w:rPr>
      <w:i/>
      <w:iCs/>
      <w:color w:val="404040" w:themeColor="text1" w:themeTint="BF"/>
    </w:rPr>
  </w:style>
  <w:style w:type="paragraph" w:styleId="a9">
    <w:name w:val="List Paragraph"/>
    <w:basedOn w:val="a"/>
    <w:uiPriority w:val="34"/>
    <w:qFormat/>
    <w:rsid w:val="002867DC"/>
    <w:pPr>
      <w:ind w:left="720"/>
      <w:contextualSpacing/>
    </w:pPr>
  </w:style>
  <w:style w:type="character" w:styleId="21">
    <w:name w:val="Intense Emphasis"/>
    <w:basedOn w:val="a0"/>
    <w:uiPriority w:val="21"/>
    <w:qFormat/>
    <w:rsid w:val="002867DC"/>
    <w:rPr>
      <w:i/>
      <w:iCs/>
      <w:color w:val="0F4761" w:themeColor="accent1" w:themeShade="BF"/>
    </w:rPr>
  </w:style>
  <w:style w:type="paragraph" w:styleId="22">
    <w:name w:val="Intense Quote"/>
    <w:basedOn w:val="a"/>
    <w:next w:val="a"/>
    <w:link w:val="23"/>
    <w:uiPriority w:val="30"/>
    <w:qFormat/>
    <w:rsid w:val="00286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867DC"/>
    <w:rPr>
      <w:i/>
      <w:iCs/>
      <w:color w:val="0F4761" w:themeColor="accent1" w:themeShade="BF"/>
    </w:rPr>
  </w:style>
  <w:style w:type="character" w:styleId="24">
    <w:name w:val="Intense Reference"/>
    <w:basedOn w:val="a0"/>
    <w:uiPriority w:val="32"/>
    <w:qFormat/>
    <w:rsid w:val="002867DC"/>
    <w:rPr>
      <w:b/>
      <w:bCs/>
      <w:smallCaps/>
      <w:color w:val="0F4761" w:themeColor="accent1" w:themeShade="BF"/>
      <w:spacing w:val="5"/>
    </w:rPr>
  </w:style>
  <w:style w:type="paragraph" w:styleId="aa">
    <w:name w:val="header"/>
    <w:basedOn w:val="a"/>
    <w:link w:val="ab"/>
    <w:uiPriority w:val="99"/>
    <w:unhideWhenUsed/>
    <w:rsid w:val="00B77E80"/>
    <w:pPr>
      <w:tabs>
        <w:tab w:val="center" w:pos="4252"/>
        <w:tab w:val="right" w:pos="8504"/>
      </w:tabs>
      <w:snapToGrid w:val="0"/>
    </w:pPr>
  </w:style>
  <w:style w:type="character" w:customStyle="1" w:styleId="ab">
    <w:name w:val="ヘッダー (文字)"/>
    <w:basedOn w:val="a0"/>
    <w:link w:val="aa"/>
    <w:uiPriority w:val="99"/>
    <w:rsid w:val="00B77E80"/>
  </w:style>
  <w:style w:type="paragraph" w:styleId="ac">
    <w:name w:val="footer"/>
    <w:basedOn w:val="a"/>
    <w:link w:val="ad"/>
    <w:uiPriority w:val="99"/>
    <w:unhideWhenUsed/>
    <w:rsid w:val="00B77E80"/>
    <w:pPr>
      <w:tabs>
        <w:tab w:val="center" w:pos="4252"/>
        <w:tab w:val="right" w:pos="8504"/>
      </w:tabs>
      <w:snapToGrid w:val="0"/>
    </w:pPr>
  </w:style>
  <w:style w:type="character" w:customStyle="1" w:styleId="ad">
    <w:name w:val="フッター (文字)"/>
    <w:basedOn w:val="a0"/>
    <w:link w:val="ac"/>
    <w:uiPriority w:val="99"/>
    <w:rsid w:val="00B77E80"/>
  </w:style>
  <w:style w:type="paragraph" w:customStyle="1" w:styleId="Default">
    <w:name w:val="Default"/>
    <w:rsid w:val="00B77E80"/>
    <w:pPr>
      <w:widowControl w:val="0"/>
      <w:autoSpaceDE w:val="0"/>
      <w:autoSpaceDN w:val="0"/>
      <w:adjustRightInd w:val="0"/>
    </w:pPr>
    <w:rPr>
      <w:rFonts w:ascii="ＭＳ 明朝" w:eastAsia="ＭＳ 明朝" w:cs="ＭＳ 明朝"/>
      <w:color w:val="000000"/>
      <w:kern w:val="0"/>
      <w:sz w:val="24"/>
      <w:szCs w:val="24"/>
    </w:rPr>
  </w:style>
  <w:style w:type="table" w:styleId="ae">
    <w:name w:val="Table Grid"/>
    <w:basedOn w:val="a1"/>
    <w:uiPriority w:val="39"/>
    <w:rsid w:val="00655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81032">
      <w:bodyDiv w:val="1"/>
      <w:marLeft w:val="0"/>
      <w:marRight w:val="0"/>
      <w:marTop w:val="0"/>
      <w:marBottom w:val="0"/>
      <w:divBdr>
        <w:top w:val="none" w:sz="0" w:space="0" w:color="auto"/>
        <w:left w:val="none" w:sz="0" w:space="0" w:color="auto"/>
        <w:bottom w:val="none" w:sz="0" w:space="0" w:color="auto"/>
        <w:right w:val="none" w:sz="0" w:space="0" w:color="auto"/>
      </w:divBdr>
      <w:divsChild>
        <w:div w:id="323245693">
          <w:marLeft w:val="0"/>
          <w:marRight w:val="0"/>
          <w:marTop w:val="0"/>
          <w:marBottom w:val="0"/>
          <w:divBdr>
            <w:top w:val="none" w:sz="0" w:space="0" w:color="auto"/>
            <w:left w:val="none" w:sz="0" w:space="0" w:color="auto"/>
            <w:bottom w:val="none" w:sz="0" w:space="0" w:color="auto"/>
            <w:right w:val="none" w:sz="0" w:space="0" w:color="auto"/>
          </w:divBdr>
        </w:div>
      </w:divsChild>
    </w:div>
    <w:div w:id="821430632">
      <w:bodyDiv w:val="1"/>
      <w:marLeft w:val="0"/>
      <w:marRight w:val="0"/>
      <w:marTop w:val="0"/>
      <w:marBottom w:val="0"/>
      <w:divBdr>
        <w:top w:val="none" w:sz="0" w:space="0" w:color="auto"/>
        <w:left w:val="none" w:sz="0" w:space="0" w:color="auto"/>
        <w:bottom w:val="none" w:sz="0" w:space="0" w:color="auto"/>
        <w:right w:val="none" w:sz="0" w:space="0" w:color="auto"/>
      </w:divBdr>
      <w:divsChild>
        <w:div w:id="200258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167</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喜多　由佳（男女参画・女性の活躍推進課）</dc:creator>
  <cp:keywords/>
  <dc:description/>
  <cp:lastModifiedBy>嘉村　里美（男女参画・女性の活躍推進課）</cp:lastModifiedBy>
  <cp:revision>6</cp:revision>
  <cp:lastPrinted>2026-03-12T09:38:00Z</cp:lastPrinted>
  <dcterms:created xsi:type="dcterms:W3CDTF">2026-03-03T13:12:00Z</dcterms:created>
  <dcterms:modified xsi:type="dcterms:W3CDTF">2026-04-22T04:39:00Z</dcterms:modified>
</cp:coreProperties>
</file>